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14E9" w14:textId="553D712C" w:rsidR="00A65CF7" w:rsidRPr="00F9447A" w:rsidRDefault="00A65CF7" w:rsidP="00F9447A">
      <w:pPr>
        <w:spacing w:line="300" w:lineRule="auto"/>
        <w:jc w:val="center"/>
        <w:rPr>
          <w:b/>
          <w:sz w:val="24"/>
          <w:szCs w:val="24"/>
        </w:rPr>
      </w:pPr>
      <w:r w:rsidRPr="00F9447A">
        <w:rPr>
          <w:b/>
          <w:sz w:val="24"/>
          <w:szCs w:val="24"/>
        </w:rPr>
        <w:t>2022年度教育部高等学校科学研究优秀成果奖（科学技术）</w:t>
      </w:r>
      <w:r w:rsidR="00C370CD">
        <w:rPr>
          <w:rFonts w:hint="eastAsia"/>
          <w:b/>
          <w:sz w:val="24"/>
          <w:szCs w:val="24"/>
        </w:rPr>
        <w:t>项目</w:t>
      </w:r>
      <w:r w:rsidRPr="00F9447A">
        <w:rPr>
          <w:b/>
          <w:sz w:val="24"/>
          <w:szCs w:val="24"/>
        </w:rPr>
        <w:t>公示信息</w:t>
      </w:r>
    </w:p>
    <w:p w14:paraId="4385BB7C" w14:textId="036CEBE1" w:rsidR="00A65CF7" w:rsidRPr="00F9447A" w:rsidRDefault="00F9447A" w:rsidP="00F9447A">
      <w:pPr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A65CF7" w:rsidRPr="00F9447A">
        <w:rPr>
          <w:rFonts w:hint="eastAsia"/>
          <w:b/>
          <w:sz w:val="24"/>
        </w:rPr>
        <w:t>申报类别：科学技术进步奖</w:t>
      </w:r>
      <w:r>
        <w:rPr>
          <w:rFonts w:hint="eastAsia"/>
          <w:b/>
          <w:sz w:val="24"/>
        </w:rPr>
        <w:t>）</w:t>
      </w:r>
    </w:p>
    <w:p w14:paraId="2BFD5B9D" w14:textId="77777777" w:rsidR="00A65CF7" w:rsidRPr="00C57DF2" w:rsidRDefault="00A65CF7" w:rsidP="00A65CF7">
      <w:pPr>
        <w:spacing w:line="300" w:lineRule="auto"/>
        <w:rPr>
          <w:b/>
          <w:sz w:val="24"/>
        </w:rPr>
      </w:pPr>
      <w:r w:rsidRPr="00C57DF2">
        <w:rPr>
          <w:b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57DF2">
        <w:rPr>
          <w:b/>
          <w:sz w:val="24"/>
        </w:rPr>
        <w:instrText>ADDIN CNKISM.UserStyle</w:instrText>
      </w:r>
      <w:r w:rsidR="00F919D9">
        <w:rPr>
          <w:b/>
          <w:sz w:val="24"/>
        </w:rPr>
      </w:r>
      <w:r w:rsidR="00F919D9">
        <w:rPr>
          <w:b/>
          <w:sz w:val="24"/>
        </w:rPr>
        <w:fldChar w:fldCharType="separate"/>
      </w:r>
      <w:r w:rsidRPr="00C57DF2">
        <w:rPr>
          <w:b/>
          <w:sz w:val="24"/>
        </w:rPr>
        <w:fldChar w:fldCharType="end"/>
      </w:r>
      <w:r w:rsidRPr="00C57DF2">
        <w:rPr>
          <w:b/>
          <w:sz w:val="24"/>
        </w:rPr>
        <w:t>一、项目名称</w:t>
      </w:r>
    </w:p>
    <w:p w14:paraId="31B064F0" w14:textId="03FAFB61" w:rsidR="00A65CF7" w:rsidRPr="006D7FB6" w:rsidRDefault="009B1757" w:rsidP="00A65CF7">
      <w:pPr>
        <w:spacing w:line="300" w:lineRule="auto"/>
        <w:ind w:firstLineChars="200" w:firstLine="480"/>
        <w:rPr>
          <w:rStyle w:val="fontstyle01"/>
          <w:rFonts w:ascii="Times New Roman" w:hAnsi="Times New Roman" w:hint="default"/>
        </w:rPr>
      </w:pPr>
      <w:r>
        <w:rPr>
          <w:rStyle w:val="fontstyle01"/>
          <w:rFonts w:ascii="Times New Roman" w:hAnsi="Times New Roman" w:hint="default"/>
        </w:rPr>
        <w:t>深部复杂地质条件破碎围岩巷道稳定控制机理与关键支护技术</w:t>
      </w:r>
    </w:p>
    <w:p w14:paraId="571D1FEE" w14:textId="77777777" w:rsidR="00A65CF7" w:rsidRPr="00C57DF2" w:rsidRDefault="00A65CF7" w:rsidP="00A65CF7">
      <w:pPr>
        <w:spacing w:line="300" w:lineRule="auto"/>
        <w:rPr>
          <w:b/>
          <w:sz w:val="24"/>
        </w:rPr>
      </w:pPr>
      <w:r w:rsidRPr="00C57DF2"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提名</w:t>
      </w:r>
      <w:r w:rsidRPr="00C57DF2">
        <w:rPr>
          <w:b/>
          <w:sz w:val="24"/>
        </w:rPr>
        <w:t>单位</w:t>
      </w:r>
    </w:p>
    <w:p w14:paraId="135ED803" w14:textId="77777777" w:rsidR="00A65CF7" w:rsidRDefault="00A65CF7" w:rsidP="00A65CF7">
      <w:pPr>
        <w:spacing w:line="300" w:lineRule="auto"/>
        <w:ind w:firstLineChars="200" w:firstLine="480"/>
        <w:rPr>
          <w:rStyle w:val="fontstyle01"/>
          <w:rFonts w:ascii="Times New Roman" w:hAnsi="Times New Roman" w:hint="default"/>
        </w:rPr>
      </w:pPr>
      <w:bookmarkStart w:id="0" w:name="OLE_LINK7"/>
      <w:bookmarkStart w:id="1" w:name="OLE_LINK10"/>
      <w:bookmarkStart w:id="2" w:name="OLE_LINK9"/>
      <w:bookmarkStart w:id="3" w:name="OLE_LINK8"/>
      <w:r w:rsidRPr="00C57DF2">
        <w:rPr>
          <w:rStyle w:val="fontstyle01"/>
          <w:rFonts w:ascii="Times New Roman" w:hAnsi="Times New Roman" w:hint="default"/>
        </w:rPr>
        <w:t>中国矿业大学（北京）</w:t>
      </w:r>
      <w:bookmarkEnd w:id="0"/>
      <w:bookmarkEnd w:id="1"/>
      <w:bookmarkEnd w:id="2"/>
      <w:bookmarkEnd w:id="3"/>
    </w:p>
    <w:p w14:paraId="3891A9CE" w14:textId="5BFE6684" w:rsidR="00A65CF7" w:rsidRPr="00C57DF2" w:rsidRDefault="00A65CF7" w:rsidP="00A65CF7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Pr="00C57DF2">
        <w:rPr>
          <w:rFonts w:hint="eastAsia"/>
          <w:b/>
          <w:sz w:val="24"/>
        </w:rPr>
        <w:t>、</w:t>
      </w:r>
      <w:r w:rsidRPr="00C57DF2">
        <w:rPr>
          <w:b/>
          <w:sz w:val="24"/>
        </w:rPr>
        <w:t>主要完成</w:t>
      </w:r>
      <w:r w:rsidRPr="00C57DF2">
        <w:rPr>
          <w:rFonts w:hint="eastAsia"/>
          <w:b/>
          <w:sz w:val="24"/>
        </w:rPr>
        <w:t>人情况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078"/>
        <w:gridCol w:w="750"/>
        <w:gridCol w:w="1474"/>
        <w:gridCol w:w="1564"/>
        <w:gridCol w:w="3979"/>
      </w:tblGrid>
      <w:tr w:rsidR="00A65CF7" w:rsidRPr="00A47E8E" w14:paraId="380C136E" w14:textId="77777777" w:rsidTr="0021534A">
        <w:trPr>
          <w:trHeight w:val="119"/>
          <w:jc w:val="center"/>
        </w:trPr>
        <w:tc>
          <w:tcPr>
            <w:tcW w:w="448" w:type="dxa"/>
            <w:vAlign w:val="center"/>
          </w:tcPr>
          <w:p w14:paraId="472C1EF3" w14:textId="77777777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排名</w:t>
            </w:r>
          </w:p>
        </w:tc>
        <w:tc>
          <w:tcPr>
            <w:tcW w:w="1078" w:type="dxa"/>
            <w:vAlign w:val="center"/>
          </w:tcPr>
          <w:p w14:paraId="02AC2553" w14:textId="77777777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姓名</w:t>
            </w:r>
          </w:p>
        </w:tc>
        <w:tc>
          <w:tcPr>
            <w:tcW w:w="750" w:type="dxa"/>
            <w:vAlign w:val="center"/>
          </w:tcPr>
          <w:p w14:paraId="21209AD9" w14:textId="77777777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技术职称</w:t>
            </w:r>
          </w:p>
        </w:tc>
        <w:tc>
          <w:tcPr>
            <w:tcW w:w="1474" w:type="dxa"/>
            <w:vAlign w:val="center"/>
          </w:tcPr>
          <w:p w14:paraId="7AE14B6D" w14:textId="77777777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工作单位</w:t>
            </w:r>
          </w:p>
        </w:tc>
        <w:tc>
          <w:tcPr>
            <w:tcW w:w="1564" w:type="dxa"/>
            <w:vAlign w:val="center"/>
          </w:tcPr>
          <w:p w14:paraId="30178837" w14:textId="77777777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完成单位</w:t>
            </w:r>
          </w:p>
          <w:p w14:paraId="11D163F3" w14:textId="77777777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</w:p>
        </w:tc>
        <w:tc>
          <w:tcPr>
            <w:tcW w:w="3979" w:type="dxa"/>
            <w:vAlign w:val="center"/>
          </w:tcPr>
          <w:p w14:paraId="28F41D12" w14:textId="3583ED44" w:rsidR="00A65CF7" w:rsidRPr="00A47E8E" w:rsidRDefault="00A65CF7" w:rsidP="00F9447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对本项目</w:t>
            </w:r>
            <w:r w:rsidR="00F9447A">
              <w:rPr>
                <w:rStyle w:val="fontstyle01"/>
                <w:rFonts w:ascii="Times New Roman" w:hAnsi="Times New Roman" w:hint="default"/>
                <w:szCs w:val="21"/>
              </w:rPr>
              <w:t>主要科技创新的</w:t>
            </w:r>
            <w:r w:rsidRPr="00A47E8E">
              <w:rPr>
                <w:rStyle w:val="fontstyle01"/>
                <w:rFonts w:ascii="Times New Roman" w:hAnsi="Times New Roman" w:hint="default"/>
                <w:szCs w:val="21"/>
              </w:rPr>
              <w:t>贡献</w:t>
            </w:r>
          </w:p>
        </w:tc>
      </w:tr>
      <w:tr w:rsidR="00F3081A" w:rsidRPr="00A47E8E" w14:paraId="590C227D" w14:textId="77777777" w:rsidTr="0021534A">
        <w:trPr>
          <w:trHeight w:val="423"/>
          <w:jc w:val="center"/>
        </w:trPr>
        <w:tc>
          <w:tcPr>
            <w:tcW w:w="448" w:type="dxa"/>
            <w:vAlign w:val="center"/>
          </w:tcPr>
          <w:p w14:paraId="42523F46" w14:textId="0DBEDAFA" w:rsidR="00F3081A" w:rsidRPr="00A47E8E" w:rsidRDefault="00F3081A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1</w:t>
            </w:r>
          </w:p>
        </w:tc>
        <w:tc>
          <w:tcPr>
            <w:tcW w:w="1078" w:type="dxa"/>
            <w:vAlign w:val="center"/>
          </w:tcPr>
          <w:p w14:paraId="685231E0" w14:textId="6DE350F1" w:rsidR="00F3081A" w:rsidRPr="00A47E8E" w:rsidRDefault="00F3081A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郭东明</w:t>
            </w:r>
          </w:p>
        </w:tc>
        <w:tc>
          <w:tcPr>
            <w:tcW w:w="750" w:type="dxa"/>
            <w:vAlign w:val="center"/>
          </w:tcPr>
          <w:p w14:paraId="34504939" w14:textId="44A524E0" w:rsidR="00F3081A" w:rsidRPr="00A47E8E" w:rsidRDefault="00F3081A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教授</w:t>
            </w:r>
          </w:p>
        </w:tc>
        <w:tc>
          <w:tcPr>
            <w:tcW w:w="1474" w:type="dxa"/>
            <w:vAlign w:val="center"/>
          </w:tcPr>
          <w:p w14:paraId="0715EA4D" w14:textId="58AA5752" w:rsidR="00F3081A" w:rsidRPr="0021534A" w:rsidRDefault="00F3081A" w:rsidP="0021534A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1564" w:type="dxa"/>
            <w:vAlign w:val="center"/>
          </w:tcPr>
          <w:p w14:paraId="6ECA303C" w14:textId="437DE6CC" w:rsidR="00F3081A" w:rsidRPr="0021534A" w:rsidRDefault="00F3081A" w:rsidP="0021534A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629068AA" w14:textId="6D3B7766" w:rsidR="00F3081A" w:rsidRPr="00A47E8E" w:rsidRDefault="002E0CD0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项目主要完成人，负责制定研究方案和总体实施计划。在研究深部破碎围岩巷道变形失稳机理、</w:t>
            </w:r>
            <w:r w:rsidR="00432FD7">
              <w:rPr>
                <w:rStyle w:val="fontstyle01"/>
                <w:rFonts w:ascii="Times New Roman" w:hAnsi="Times New Roman" w:hint="default"/>
                <w:szCs w:val="21"/>
              </w:rPr>
              <w:t>室内注浆试验系统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与底板桩支护等方面做出了主要贡献，具体贡献体现在创新点一、创新点三和创新点四。</w:t>
            </w:r>
          </w:p>
        </w:tc>
      </w:tr>
      <w:tr w:rsidR="00F3081A" w:rsidRPr="00A47E8E" w14:paraId="088FD4A8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4194025B" w14:textId="6F577D2D" w:rsidR="00F3081A" w:rsidRPr="00A47E8E" w:rsidRDefault="00F3081A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2</w:t>
            </w:r>
          </w:p>
        </w:tc>
        <w:tc>
          <w:tcPr>
            <w:tcW w:w="1078" w:type="dxa"/>
            <w:vAlign w:val="center"/>
          </w:tcPr>
          <w:p w14:paraId="662B3AF1" w14:textId="0A6A2A67" w:rsidR="00F3081A" w:rsidRPr="00A47E8E" w:rsidRDefault="00F3081A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李永亮</w:t>
            </w:r>
          </w:p>
        </w:tc>
        <w:tc>
          <w:tcPr>
            <w:tcW w:w="750" w:type="dxa"/>
            <w:vAlign w:val="center"/>
          </w:tcPr>
          <w:p w14:paraId="2381203F" w14:textId="25E9590F" w:rsidR="00F3081A" w:rsidRPr="00A47E8E" w:rsidRDefault="00F3081A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讲师</w:t>
            </w:r>
          </w:p>
        </w:tc>
        <w:tc>
          <w:tcPr>
            <w:tcW w:w="1474" w:type="dxa"/>
            <w:vAlign w:val="center"/>
          </w:tcPr>
          <w:p w14:paraId="2BBECB8F" w14:textId="783B9C89" w:rsidR="00F3081A" w:rsidRPr="0021534A" w:rsidRDefault="00F3081A" w:rsidP="0021534A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1564" w:type="dxa"/>
            <w:vAlign w:val="center"/>
          </w:tcPr>
          <w:p w14:paraId="5193E90A" w14:textId="27243188" w:rsidR="00F3081A" w:rsidRPr="0021534A" w:rsidRDefault="00F3081A" w:rsidP="0021534A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3918D428" w14:textId="4948D2F7" w:rsidR="00F3081A" w:rsidRPr="00A47E8E" w:rsidRDefault="002E0CD0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项目主要完成人，负责制定研究方案和现场实施指导。在研究巷道顶板变形失稳机理、预应力锚索剪切试验与</w:t>
            </w:r>
            <w:r w:rsidR="00D25BD8">
              <w:rPr>
                <w:rStyle w:val="fontstyle01"/>
                <w:rFonts w:ascii="Times New Roman" w:hAnsi="Times New Roman" w:hint="default"/>
                <w:szCs w:val="21"/>
              </w:rPr>
              <w:t>复合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顶板支护技术方面作出了主要贡献，具体贡献体现在创新点一、创新点二和创新点四。</w:t>
            </w:r>
          </w:p>
        </w:tc>
      </w:tr>
      <w:tr w:rsidR="00F3081A" w:rsidRPr="00A47E8E" w14:paraId="6B29954F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10DDE782" w14:textId="2A42B1BE" w:rsidR="00F3081A" w:rsidRPr="00A47E8E" w:rsidRDefault="006D4379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3</w:t>
            </w:r>
          </w:p>
        </w:tc>
        <w:tc>
          <w:tcPr>
            <w:tcW w:w="1078" w:type="dxa"/>
            <w:vAlign w:val="center"/>
          </w:tcPr>
          <w:p w14:paraId="2C071BBA" w14:textId="714D2BE9" w:rsidR="00F3081A" w:rsidRPr="00A47E8E" w:rsidRDefault="00637A23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吴宝杨</w:t>
            </w:r>
          </w:p>
        </w:tc>
        <w:tc>
          <w:tcPr>
            <w:tcW w:w="750" w:type="dxa"/>
            <w:vAlign w:val="center"/>
          </w:tcPr>
          <w:p w14:paraId="27BF7C93" w14:textId="6E26AD82" w:rsidR="00F3081A" w:rsidRPr="00A47E8E" w:rsidRDefault="00637B3E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高工</w:t>
            </w:r>
          </w:p>
        </w:tc>
        <w:tc>
          <w:tcPr>
            <w:tcW w:w="1474" w:type="dxa"/>
            <w:vAlign w:val="center"/>
          </w:tcPr>
          <w:p w14:paraId="781ACA3F" w14:textId="3FFAC06B" w:rsidR="00F3081A" w:rsidRPr="0021534A" w:rsidRDefault="0021534A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北京低碳清洁能源研究院</w:t>
            </w:r>
          </w:p>
        </w:tc>
        <w:tc>
          <w:tcPr>
            <w:tcW w:w="1564" w:type="dxa"/>
            <w:vAlign w:val="center"/>
          </w:tcPr>
          <w:p w14:paraId="36CDD197" w14:textId="6960C908" w:rsidR="00F3081A" w:rsidRPr="0021534A" w:rsidRDefault="0025708E" w:rsidP="0021534A">
            <w:pPr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7032E289" w14:textId="01284D89" w:rsidR="00F3081A" w:rsidRPr="00A47E8E" w:rsidRDefault="00D562D9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项目主要完成人，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参与研究方案制定与实施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在破碎围岩与注浆体相互作用力学模型构建方面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作出了主要贡献，具体贡献体现在创新点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三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</w:p>
        </w:tc>
      </w:tr>
      <w:tr w:rsidR="00F3081A" w:rsidRPr="00A47E8E" w14:paraId="7284B735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3551D523" w14:textId="1C02887B" w:rsidR="00F3081A" w:rsidRPr="00A47E8E" w:rsidRDefault="00637A23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4</w:t>
            </w:r>
          </w:p>
        </w:tc>
        <w:tc>
          <w:tcPr>
            <w:tcW w:w="1078" w:type="dxa"/>
            <w:vAlign w:val="center"/>
          </w:tcPr>
          <w:p w14:paraId="1F6A66AD" w14:textId="774D097E" w:rsidR="00F3081A" w:rsidRPr="00A47E8E" w:rsidRDefault="00637A23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马</w:t>
            </w:r>
            <w:r w:rsidR="0021534A">
              <w:rPr>
                <w:rStyle w:val="fontstyle01"/>
                <w:rFonts w:ascii="Times New Roman" w:hAnsi="Times New Roman" w:hint="default"/>
                <w:szCs w:val="21"/>
              </w:rPr>
              <w:t>鑫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民</w:t>
            </w:r>
          </w:p>
        </w:tc>
        <w:tc>
          <w:tcPr>
            <w:tcW w:w="750" w:type="dxa"/>
            <w:vAlign w:val="center"/>
          </w:tcPr>
          <w:p w14:paraId="4FF1AED9" w14:textId="5CDB49CA" w:rsidR="00F3081A" w:rsidRPr="00A47E8E" w:rsidRDefault="00637B3E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副教授</w:t>
            </w:r>
          </w:p>
        </w:tc>
        <w:tc>
          <w:tcPr>
            <w:tcW w:w="1474" w:type="dxa"/>
            <w:vAlign w:val="center"/>
          </w:tcPr>
          <w:p w14:paraId="05CD96EC" w14:textId="635EDF8D" w:rsidR="00F3081A" w:rsidRPr="0021534A" w:rsidRDefault="0021534A" w:rsidP="0021534A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1564" w:type="dxa"/>
            <w:vAlign w:val="center"/>
          </w:tcPr>
          <w:p w14:paraId="3B239847" w14:textId="1AF5A1B2" w:rsidR="00F3081A" w:rsidRPr="0021534A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7F7CD1AC" w14:textId="6ECE8E0A" w:rsidR="00F3081A" w:rsidRPr="00A47E8E" w:rsidRDefault="00D562D9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项目主要完成人，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参与研究方案制定与实施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在研究破碎围岩注浆加固机理与</w:t>
            </w:r>
            <w:r w:rsidR="003501B9">
              <w:rPr>
                <w:rStyle w:val="fontstyle01"/>
                <w:rFonts w:ascii="Times New Roman" w:hAnsi="Times New Roman" w:hint="default"/>
                <w:szCs w:val="21"/>
              </w:rPr>
              <w:t>深浅孔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注浆工艺优化方面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作出了主要贡献，具体贡献体现在创新点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三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</w:p>
        </w:tc>
      </w:tr>
      <w:tr w:rsidR="00F3081A" w:rsidRPr="00A47E8E" w14:paraId="45841619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687552AE" w14:textId="283A8E35" w:rsidR="00F3081A" w:rsidRPr="00A47E8E" w:rsidRDefault="00637A23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5</w:t>
            </w:r>
          </w:p>
        </w:tc>
        <w:tc>
          <w:tcPr>
            <w:tcW w:w="1078" w:type="dxa"/>
            <w:vAlign w:val="center"/>
          </w:tcPr>
          <w:p w14:paraId="77F1C2BC" w14:textId="3CDA4129" w:rsidR="00F3081A" w:rsidRPr="00A47E8E" w:rsidRDefault="00637A23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方士正</w:t>
            </w:r>
          </w:p>
        </w:tc>
        <w:tc>
          <w:tcPr>
            <w:tcW w:w="750" w:type="dxa"/>
            <w:vAlign w:val="center"/>
          </w:tcPr>
          <w:p w14:paraId="10C8AB39" w14:textId="36E08493" w:rsidR="00F3081A" w:rsidRPr="00A47E8E" w:rsidRDefault="00D1193A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其他</w:t>
            </w:r>
          </w:p>
        </w:tc>
        <w:tc>
          <w:tcPr>
            <w:tcW w:w="1474" w:type="dxa"/>
            <w:vAlign w:val="center"/>
          </w:tcPr>
          <w:p w14:paraId="7D5D662C" w14:textId="5A272318" w:rsidR="00F3081A" w:rsidRPr="0021534A" w:rsidRDefault="00291D92" w:rsidP="0021534A">
            <w:pPr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北京科技大学</w:t>
            </w:r>
          </w:p>
        </w:tc>
        <w:tc>
          <w:tcPr>
            <w:tcW w:w="1564" w:type="dxa"/>
            <w:vAlign w:val="center"/>
          </w:tcPr>
          <w:p w14:paraId="0325963B" w14:textId="5C48DAF7" w:rsidR="00F3081A" w:rsidRPr="0021534A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207F0F8B" w14:textId="167A7EB9" w:rsidR="00F3081A" w:rsidRPr="00A47E8E" w:rsidRDefault="00D5755F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参与研究方案制定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  <w:r w:rsidR="00BA4914">
              <w:rPr>
                <w:rStyle w:val="fontstyle01"/>
                <w:rFonts w:ascii="Times New Roman" w:hAnsi="Times New Roman" w:hint="default"/>
                <w:szCs w:val="21"/>
              </w:rPr>
              <w:t>在研究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复杂结构顶板变形失稳机理</w:t>
            </w:r>
            <w:r w:rsidR="003E4C8F">
              <w:rPr>
                <w:rStyle w:val="fontstyle01"/>
                <w:rFonts w:ascii="Times New Roman" w:hAnsi="Times New Roman" w:hint="default"/>
                <w:szCs w:val="21"/>
              </w:rPr>
              <w:t>方面作出了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主要贡献，具体贡献体现在创新点</w:t>
            </w:r>
            <w:r w:rsidR="003E4C8F">
              <w:rPr>
                <w:rStyle w:val="fontstyle01"/>
                <w:rFonts w:ascii="Times New Roman" w:hAnsi="Times New Roman" w:hint="default"/>
                <w:szCs w:val="21"/>
              </w:rPr>
              <w:t>二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</w:p>
        </w:tc>
      </w:tr>
      <w:tr w:rsidR="00637A23" w:rsidRPr="00A47E8E" w14:paraId="09949FBB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322EA39E" w14:textId="13512AFB" w:rsidR="00637A23" w:rsidRDefault="00637A23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6</w:t>
            </w:r>
          </w:p>
        </w:tc>
        <w:tc>
          <w:tcPr>
            <w:tcW w:w="1078" w:type="dxa"/>
            <w:vAlign w:val="center"/>
          </w:tcPr>
          <w:p w14:paraId="4247B94B" w14:textId="39719F5B" w:rsidR="00637A23" w:rsidRDefault="00637A23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朱现磊</w:t>
            </w:r>
          </w:p>
        </w:tc>
        <w:tc>
          <w:tcPr>
            <w:tcW w:w="750" w:type="dxa"/>
            <w:vAlign w:val="center"/>
          </w:tcPr>
          <w:p w14:paraId="549C445E" w14:textId="63AAA412" w:rsidR="00637A23" w:rsidRPr="00A47E8E" w:rsidRDefault="00637B3E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高工</w:t>
            </w:r>
          </w:p>
        </w:tc>
        <w:tc>
          <w:tcPr>
            <w:tcW w:w="1474" w:type="dxa"/>
            <w:vAlign w:val="center"/>
          </w:tcPr>
          <w:p w14:paraId="09F7A6FD" w14:textId="6860643F" w:rsidR="00637A23" w:rsidRPr="0021534A" w:rsidRDefault="0021534A" w:rsidP="0021534A">
            <w:pPr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1564" w:type="dxa"/>
            <w:vAlign w:val="center"/>
          </w:tcPr>
          <w:p w14:paraId="7CCDED68" w14:textId="7205237F" w:rsidR="00637A23" w:rsidRPr="0021534A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0319A326" w14:textId="33AD1825" w:rsidR="00637A23" w:rsidRPr="00A47E8E" w:rsidRDefault="00D5755F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参与研究方案实施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，负责</w:t>
            </w:r>
            <w:r w:rsidR="00BA4914">
              <w:rPr>
                <w:rStyle w:val="fontstyle01"/>
                <w:rFonts w:ascii="Times New Roman" w:hAnsi="Times New Roman" w:hint="default"/>
                <w:szCs w:val="21"/>
              </w:rPr>
              <w:t>研究方案制定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  <w:r w:rsidR="00BA4914">
              <w:rPr>
                <w:rStyle w:val="fontstyle01"/>
                <w:rFonts w:ascii="Times New Roman" w:hAnsi="Times New Roman" w:hint="default"/>
                <w:szCs w:val="21"/>
              </w:rPr>
              <w:t>在研究破碎围岩宏细观注浆加固机理方面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作出了主要贡献，具体贡献体现在创新点</w:t>
            </w:r>
            <w:r w:rsidR="00BA4914">
              <w:rPr>
                <w:rStyle w:val="fontstyle01"/>
                <w:rFonts w:ascii="Times New Roman" w:hAnsi="Times New Roman" w:hint="default"/>
                <w:szCs w:val="21"/>
              </w:rPr>
              <w:t>三</w:t>
            </w:r>
            <w:r w:rsidR="00BA4914"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</w:p>
        </w:tc>
      </w:tr>
      <w:tr w:rsidR="00637A23" w:rsidRPr="00A47E8E" w14:paraId="038152C6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001A8B1E" w14:textId="2BEAA9BD" w:rsidR="00637A23" w:rsidRDefault="00637A23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lastRenderedPageBreak/>
              <w:t>7</w:t>
            </w:r>
          </w:p>
        </w:tc>
        <w:tc>
          <w:tcPr>
            <w:tcW w:w="1078" w:type="dxa"/>
            <w:vAlign w:val="center"/>
          </w:tcPr>
          <w:p w14:paraId="1557A756" w14:textId="45447143" w:rsidR="00637A23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陈骏</w:t>
            </w:r>
          </w:p>
        </w:tc>
        <w:tc>
          <w:tcPr>
            <w:tcW w:w="750" w:type="dxa"/>
            <w:vAlign w:val="center"/>
          </w:tcPr>
          <w:p w14:paraId="5EBB52E0" w14:textId="3D7172C8" w:rsidR="00637A23" w:rsidRPr="00A47E8E" w:rsidRDefault="00684A74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其他</w:t>
            </w:r>
          </w:p>
        </w:tc>
        <w:tc>
          <w:tcPr>
            <w:tcW w:w="1474" w:type="dxa"/>
            <w:vAlign w:val="center"/>
          </w:tcPr>
          <w:p w14:paraId="53675244" w14:textId="54F2A5D8" w:rsidR="00637A23" w:rsidRPr="0021534A" w:rsidRDefault="0021534A" w:rsidP="0021534A">
            <w:pPr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1564" w:type="dxa"/>
            <w:vAlign w:val="center"/>
          </w:tcPr>
          <w:p w14:paraId="3DCBE687" w14:textId="4A2FC34F" w:rsidR="00637A23" w:rsidRPr="0021534A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52578B21" w14:textId="128415A4" w:rsidR="00637A23" w:rsidRPr="00A47E8E" w:rsidRDefault="00D25BD8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负责现场实施指导。</w:t>
            </w:r>
            <w:r>
              <w:rPr>
                <w:rStyle w:val="fontstyle01"/>
                <w:rFonts w:ascii="Times New Roman" w:hAnsi="Times New Roman" w:hint="default"/>
                <w:szCs w:val="21"/>
              </w:rPr>
              <w:t>在研究</w:t>
            </w:r>
            <w:r w:rsidR="00F82071">
              <w:rPr>
                <w:rStyle w:val="fontstyle01"/>
                <w:rFonts w:ascii="Times New Roman" w:hAnsi="Times New Roman" w:hint="default"/>
                <w:szCs w:val="21"/>
              </w:rPr>
              <w:t>破碎围岩宏细观注浆加固机理方面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作出了主要贡献，具体贡献体现在创新点</w:t>
            </w:r>
            <w:r w:rsidR="00F82071">
              <w:rPr>
                <w:rStyle w:val="fontstyle01"/>
                <w:rFonts w:ascii="Times New Roman" w:hAnsi="Times New Roman" w:hint="default"/>
                <w:szCs w:val="21"/>
              </w:rPr>
              <w:t>三</w:t>
            </w:r>
            <w:r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</w:p>
        </w:tc>
      </w:tr>
      <w:tr w:rsidR="0025708E" w:rsidRPr="00A47E8E" w14:paraId="52D85473" w14:textId="77777777" w:rsidTr="0021534A">
        <w:trPr>
          <w:trHeight w:val="567"/>
          <w:jc w:val="center"/>
        </w:trPr>
        <w:tc>
          <w:tcPr>
            <w:tcW w:w="448" w:type="dxa"/>
            <w:vAlign w:val="center"/>
          </w:tcPr>
          <w:p w14:paraId="2B4E5AA9" w14:textId="502C992B" w:rsidR="0025708E" w:rsidRDefault="0025708E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8</w:t>
            </w:r>
          </w:p>
        </w:tc>
        <w:tc>
          <w:tcPr>
            <w:tcW w:w="1078" w:type="dxa"/>
            <w:vAlign w:val="center"/>
          </w:tcPr>
          <w:p w14:paraId="77F8D5DD" w14:textId="59FCD4D8" w:rsidR="0025708E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亢鑫超</w:t>
            </w:r>
          </w:p>
        </w:tc>
        <w:tc>
          <w:tcPr>
            <w:tcW w:w="750" w:type="dxa"/>
            <w:vAlign w:val="center"/>
          </w:tcPr>
          <w:p w14:paraId="203182A3" w14:textId="74A0F0E2" w:rsidR="0025708E" w:rsidRPr="00A47E8E" w:rsidRDefault="00684A74" w:rsidP="0021534A">
            <w:pPr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其他</w:t>
            </w:r>
          </w:p>
        </w:tc>
        <w:tc>
          <w:tcPr>
            <w:tcW w:w="1474" w:type="dxa"/>
            <w:vAlign w:val="center"/>
          </w:tcPr>
          <w:p w14:paraId="266D6ABA" w14:textId="7A0F7442" w:rsidR="0025708E" w:rsidRPr="0021534A" w:rsidRDefault="0025708E" w:rsidP="0021534A">
            <w:pPr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常州工学院</w:t>
            </w:r>
          </w:p>
        </w:tc>
        <w:tc>
          <w:tcPr>
            <w:tcW w:w="1564" w:type="dxa"/>
            <w:vAlign w:val="center"/>
          </w:tcPr>
          <w:p w14:paraId="4EA42E4C" w14:textId="6A6209DE" w:rsidR="0025708E" w:rsidRPr="0021534A" w:rsidRDefault="0025708E" w:rsidP="0021534A">
            <w:pPr>
              <w:adjustRightInd w:val="0"/>
              <w:snapToGrid w:val="0"/>
              <w:spacing w:line="160" w:lineRule="atLeast"/>
              <w:jc w:val="center"/>
              <w:rPr>
                <w:rStyle w:val="fontstyle01"/>
                <w:rFonts w:ascii="Times New Roman" w:hAnsi="Times New Roman" w:hint="default"/>
                <w:sz w:val="20"/>
                <w:szCs w:val="20"/>
              </w:rPr>
            </w:pPr>
            <w:r w:rsidRPr="0021534A">
              <w:rPr>
                <w:rFonts w:hint="eastAsia"/>
                <w:sz w:val="20"/>
                <w:szCs w:val="20"/>
              </w:rPr>
              <w:t>中国矿业单位（北京）</w:t>
            </w:r>
          </w:p>
        </w:tc>
        <w:tc>
          <w:tcPr>
            <w:tcW w:w="3979" w:type="dxa"/>
            <w:vAlign w:val="center"/>
          </w:tcPr>
          <w:p w14:paraId="0B90F374" w14:textId="110212F4" w:rsidR="0025708E" w:rsidRPr="00A47E8E" w:rsidRDefault="00D5755F" w:rsidP="00F3081A">
            <w:pPr>
              <w:adjustRightInd w:val="0"/>
              <w:snapToGrid w:val="0"/>
              <w:spacing w:line="160" w:lineRule="atLeast"/>
              <w:rPr>
                <w:rStyle w:val="fontstyle01"/>
                <w:rFonts w:ascii="Times New Roman" w:hAnsi="Times New Roman" w:hint="default"/>
                <w:szCs w:val="21"/>
              </w:rPr>
            </w:pPr>
            <w:r>
              <w:rPr>
                <w:rStyle w:val="fontstyle01"/>
                <w:rFonts w:ascii="Times New Roman" w:hAnsi="Times New Roman" w:hint="default"/>
                <w:szCs w:val="21"/>
              </w:rPr>
              <w:t>参与研究方案</w:t>
            </w:r>
            <w:r w:rsidR="00D25BD8" w:rsidRPr="002E0CD0">
              <w:rPr>
                <w:rStyle w:val="fontstyle01"/>
                <w:rFonts w:ascii="Times New Roman" w:hAnsi="Times New Roman" w:hint="default"/>
                <w:szCs w:val="21"/>
              </w:rPr>
              <w:t>实施指导。</w:t>
            </w:r>
            <w:r w:rsidR="00D25BD8">
              <w:rPr>
                <w:rStyle w:val="fontstyle01"/>
                <w:rFonts w:ascii="Times New Roman" w:hAnsi="Times New Roman" w:hint="default"/>
                <w:szCs w:val="21"/>
              </w:rPr>
              <w:t>在研究底板桩控制深部巷道底鼓机理与技术方面</w:t>
            </w:r>
            <w:r w:rsidR="00D25BD8" w:rsidRPr="002E0CD0">
              <w:rPr>
                <w:rStyle w:val="fontstyle01"/>
                <w:rFonts w:ascii="Times New Roman" w:hAnsi="Times New Roman" w:hint="default"/>
                <w:szCs w:val="21"/>
              </w:rPr>
              <w:t>作出了主要贡献，具体贡献体现在创新点</w:t>
            </w:r>
            <w:r w:rsidR="002B43DF">
              <w:rPr>
                <w:rStyle w:val="fontstyle01"/>
                <w:rFonts w:ascii="Times New Roman" w:hAnsi="Times New Roman" w:hint="default"/>
                <w:szCs w:val="21"/>
              </w:rPr>
              <w:t>四</w:t>
            </w:r>
            <w:r w:rsidR="00D25BD8" w:rsidRPr="002E0CD0">
              <w:rPr>
                <w:rStyle w:val="fontstyle01"/>
                <w:rFonts w:ascii="Times New Roman" w:hAnsi="Times New Roman" w:hint="default"/>
                <w:szCs w:val="21"/>
              </w:rPr>
              <w:t>。</w:t>
            </w:r>
          </w:p>
        </w:tc>
      </w:tr>
    </w:tbl>
    <w:p w14:paraId="07F92DF4" w14:textId="77777777" w:rsidR="00A65CF7" w:rsidRPr="00C57DF2" w:rsidRDefault="00A65CF7" w:rsidP="00A65CF7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C57DF2">
        <w:rPr>
          <w:b/>
          <w:sz w:val="24"/>
        </w:rPr>
        <w:t>、</w:t>
      </w:r>
      <w:r>
        <w:rPr>
          <w:rFonts w:hint="eastAsia"/>
          <w:b/>
          <w:sz w:val="24"/>
        </w:rPr>
        <w:t>主要完成单位</w:t>
      </w:r>
    </w:p>
    <w:p w14:paraId="63C5D268" w14:textId="32FA3252" w:rsidR="00684A74" w:rsidRDefault="00684A74" w:rsidP="00684A74">
      <w:pPr>
        <w:spacing w:line="300" w:lineRule="auto"/>
        <w:ind w:firstLineChars="200" w:firstLine="480"/>
        <w:rPr>
          <w:rStyle w:val="fontstyle01"/>
          <w:rFonts w:ascii="Times New Roman" w:hAnsi="Times New Roman" w:hint="default"/>
        </w:rPr>
      </w:pPr>
      <w:r w:rsidRPr="00C57DF2">
        <w:rPr>
          <w:rStyle w:val="fontstyle01"/>
          <w:rFonts w:ascii="Times New Roman" w:hAnsi="Times New Roman" w:hint="default"/>
        </w:rPr>
        <w:t>中国矿业大学（北京）</w:t>
      </w:r>
    </w:p>
    <w:p w14:paraId="43693966" w14:textId="26855083" w:rsidR="00DE3C00" w:rsidRPr="00DE3C00" w:rsidRDefault="00DE3C00" w:rsidP="00DE3C00">
      <w:pPr>
        <w:spacing w:line="300" w:lineRule="auto"/>
        <w:ind w:firstLineChars="200" w:firstLine="480"/>
        <w:rPr>
          <w:rStyle w:val="fontstyle01"/>
          <w:rFonts w:ascii="Times New Roman" w:hAnsi="Times New Roman" w:hint="default"/>
        </w:rPr>
      </w:pPr>
      <w:r w:rsidRPr="00DE3C00">
        <w:rPr>
          <w:rStyle w:val="fontstyle01"/>
          <w:rFonts w:ascii="Times New Roman" w:hAnsi="Times New Roman" w:hint="default"/>
        </w:rPr>
        <w:t>北京低碳清洁能源研究院</w:t>
      </w:r>
    </w:p>
    <w:p w14:paraId="3A9DE556" w14:textId="2B555BD3" w:rsidR="003445C1" w:rsidRDefault="003445C1" w:rsidP="00DE3C00">
      <w:pPr>
        <w:spacing w:line="300" w:lineRule="auto"/>
        <w:ind w:firstLineChars="200" w:firstLine="480"/>
        <w:rPr>
          <w:rStyle w:val="fontstyle01"/>
          <w:rFonts w:ascii="Times New Roman" w:hAnsi="Times New Roman" w:hint="default"/>
        </w:rPr>
      </w:pPr>
      <w:r>
        <w:rPr>
          <w:rStyle w:val="fontstyle01"/>
          <w:rFonts w:ascii="Times New Roman" w:hAnsi="Times New Roman" w:hint="default"/>
        </w:rPr>
        <w:t>北京科技大学</w:t>
      </w:r>
    </w:p>
    <w:p w14:paraId="636E7E64" w14:textId="3A0DB322" w:rsidR="00DE3C00" w:rsidRDefault="00DE3C00" w:rsidP="00DE3C00">
      <w:pPr>
        <w:spacing w:line="300" w:lineRule="auto"/>
        <w:ind w:firstLineChars="200" w:firstLine="480"/>
        <w:rPr>
          <w:rStyle w:val="fontstyle01"/>
          <w:rFonts w:ascii="Times New Roman" w:hAnsi="Times New Roman" w:hint="default"/>
        </w:rPr>
      </w:pPr>
      <w:r w:rsidRPr="00DE3C00">
        <w:rPr>
          <w:rStyle w:val="fontstyle01"/>
          <w:rFonts w:ascii="Times New Roman" w:hAnsi="Times New Roman" w:hint="default"/>
        </w:rPr>
        <w:t>常州工学院</w:t>
      </w:r>
    </w:p>
    <w:p w14:paraId="18E94E31" w14:textId="55565621" w:rsidR="00A65CF7" w:rsidRDefault="00A65CF7" w:rsidP="00A65CF7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Pr="006916AB">
        <w:rPr>
          <w:rFonts w:hint="eastAsia"/>
          <w:b/>
          <w:sz w:val="24"/>
        </w:rPr>
        <w:t>主要知识产权和标准规范</w:t>
      </w:r>
      <w:r w:rsidR="008762E5">
        <w:rPr>
          <w:rFonts w:hint="eastAsia"/>
          <w:b/>
          <w:sz w:val="24"/>
        </w:rPr>
        <w:t>等目录</w:t>
      </w:r>
    </w:p>
    <w:tbl>
      <w:tblPr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3"/>
        <w:gridCol w:w="1300"/>
        <w:gridCol w:w="896"/>
        <w:gridCol w:w="991"/>
        <w:gridCol w:w="992"/>
        <w:gridCol w:w="851"/>
        <w:gridCol w:w="1134"/>
        <w:gridCol w:w="1016"/>
        <w:gridCol w:w="1221"/>
      </w:tblGrid>
      <w:tr w:rsidR="00A65CF7" w14:paraId="11C638A7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496975F5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知识产权</w:t>
            </w:r>
            <w:r>
              <w:rPr>
                <w:rFonts w:ascii="宋体" w:hAnsi="宋体" w:hint="eastAsia"/>
                <w:b/>
                <w:bCs/>
                <w:color w:val="000000"/>
              </w:rPr>
              <w:t>（标准）</w:t>
            </w:r>
            <w:r>
              <w:rPr>
                <w:rFonts w:ascii="宋体" w:hAnsi="宋体"/>
                <w:b/>
                <w:bCs/>
                <w:color w:val="000000"/>
              </w:rPr>
              <w:t>类别</w:t>
            </w:r>
          </w:p>
        </w:tc>
        <w:tc>
          <w:tcPr>
            <w:tcW w:w="1300" w:type="dxa"/>
            <w:vAlign w:val="center"/>
          </w:tcPr>
          <w:p w14:paraId="6DDF0EC5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知识产权（标准）具体</w:t>
            </w:r>
            <w:r>
              <w:rPr>
                <w:rFonts w:ascii="宋体" w:hAnsi="宋体"/>
                <w:b/>
                <w:bCs/>
                <w:color w:val="000000"/>
              </w:rPr>
              <w:t>名称</w:t>
            </w:r>
          </w:p>
        </w:tc>
        <w:tc>
          <w:tcPr>
            <w:tcW w:w="896" w:type="dxa"/>
            <w:vAlign w:val="center"/>
          </w:tcPr>
          <w:p w14:paraId="21468272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国</w:t>
            </w:r>
            <w:r>
              <w:rPr>
                <w:rFonts w:ascii="宋体" w:hAnsi="宋体" w:hint="eastAsia"/>
                <w:b/>
                <w:bCs/>
                <w:color w:val="000000"/>
              </w:rPr>
              <w:t>家</w:t>
            </w:r>
          </w:p>
          <w:p w14:paraId="29071207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</w:rPr>
              <w:t>地</w:t>
            </w:r>
            <w:r>
              <w:rPr>
                <w:rFonts w:ascii="宋体" w:hAnsi="宋体"/>
                <w:b/>
                <w:bCs/>
                <w:color w:val="000000"/>
              </w:rPr>
              <w:t>区）</w:t>
            </w:r>
          </w:p>
        </w:tc>
        <w:tc>
          <w:tcPr>
            <w:tcW w:w="991" w:type="dxa"/>
            <w:vAlign w:val="center"/>
          </w:tcPr>
          <w:p w14:paraId="0F4B5C61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5923B3CD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授权（标准发布）日期</w:t>
            </w:r>
          </w:p>
        </w:tc>
        <w:tc>
          <w:tcPr>
            <w:tcW w:w="851" w:type="dxa"/>
            <w:vAlign w:val="center"/>
          </w:tcPr>
          <w:p w14:paraId="49B5B303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证书编号</w:t>
            </w:r>
            <w:r>
              <w:rPr>
                <w:rFonts w:ascii="宋体" w:hAnsi="宋体"/>
                <w:b/>
                <w:bCs/>
                <w:color w:val="000000"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</w:rPr>
              <w:t>（标准批准发布</w:t>
            </w:r>
            <w:r>
              <w:rPr>
                <w:rFonts w:ascii="宋体" w:hAnsi="宋体"/>
                <w:b/>
                <w:bCs/>
                <w:color w:val="000000"/>
              </w:rPr>
              <w:t>部门</w:t>
            </w:r>
            <w:r>
              <w:rPr>
                <w:rFonts w:ascii="宋体" w:hAnsi="宋体" w:hint="eastAsia"/>
                <w:b/>
                <w:bCs/>
                <w:color w:val="000000"/>
              </w:rPr>
              <w:t>）</w:t>
            </w:r>
          </w:p>
        </w:tc>
        <w:tc>
          <w:tcPr>
            <w:tcW w:w="1134" w:type="dxa"/>
            <w:vAlign w:val="center"/>
          </w:tcPr>
          <w:p w14:paraId="5AA15760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权利人（标准起草单位）</w:t>
            </w:r>
          </w:p>
        </w:tc>
        <w:tc>
          <w:tcPr>
            <w:tcW w:w="1016" w:type="dxa"/>
            <w:vAlign w:val="center"/>
          </w:tcPr>
          <w:p w14:paraId="7AA1DD2E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发明人（标准起草人）</w:t>
            </w:r>
          </w:p>
        </w:tc>
        <w:tc>
          <w:tcPr>
            <w:tcW w:w="1221" w:type="dxa"/>
            <w:vAlign w:val="center"/>
          </w:tcPr>
          <w:p w14:paraId="2EAF2FB7" w14:textId="77777777" w:rsidR="00A65CF7" w:rsidRDefault="00A65CF7" w:rsidP="00CA53C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发明专利（标准）有效状态</w:t>
            </w:r>
          </w:p>
        </w:tc>
      </w:tr>
      <w:tr w:rsidR="00A65CF7" w14:paraId="4EE0AD4E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7C7828D8" w14:textId="0B1D721D" w:rsidR="00A65CF7" w:rsidRPr="00DD6730" w:rsidRDefault="002E0CD0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28C3DFEE" w14:textId="4E1E29FF" w:rsidR="00A65CF7" w:rsidRPr="00DD6730" w:rsidRDefault="00365230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一种用于对试块进行实验室注浆测试的方法</w:t>
            </w:r>
          </w:p>
        </w:tc>
        <w:tc>
          <w:tcPr>
            <w:tcW w:w="896" w:type="dxa"/>
            <w:vAlign w:val="center"/>
          </w:tcPr>
          <w:p w14:paraId="7D7271DE" w14:textId="03AF7FE8" w:rsidR="00A65CF7" w:rsidRPr="00DD6730" w:rsidRDefault="002E0CD0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2A874BA2" w14:textId="538AC505" w:rsidR="00A65CF7" w:rsidRPr="00DD6730" w:rsidRDefault="00365230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ZL201310731469.8</w:t>
            </w:r>
          </w:p>
        </w:tc>
        <w:tc>
          <w:tcPr>
            <w:tcW w:w="992" w:type="dxa"/>
            <w:vAlign w:val="center"/>
          </w:tcPr>
          <w:p w14:paraId="236D549A" w14:textId="36C03047" w:rsidR="00A65CF7" w:rsidRPr="00DD6730" w:rsidRDefault="00A65CF7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536E1D" w14:textId="41E2D989" w:rsidR="00A65CF7" w:rsidRPr="00DD6730" w:rsidRDefault="00A65CF7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D7040C" w14:textId="346D6DF0" w:rsidR="00A65CF7" w:rsidRPr="00DD6730" w:rsidRDefault="00365230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1C12D9B8" w14:textId="49F341C4" w:rsidR="00A65CF7" w:rsidRPr="00DD6730" w:rsidRDefault="00365230" w:rsidP="00CA53C4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郭东明、杨仁树、张毅，刘康</w:t>
            </w:r>
          </w:p>
        </w:tc>
        <w:tc>
          <w:tcPr>
            <w:tcW w:w="1221" w:type="dxa"/>
            <w:vAlign w:val="center"/>
          </w:tcPr>
          <w:p w14:paraId="1A3719AC" w14:textId="651F5079" w:rsidR="00A65CF7" w:rsidRPr="00DD6730" w:rsidRDefault="00365230" w:rsidP="00CA53C4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4739AC70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58751483" w14:textId="76C8B44B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1EA0CC18" w14:textId="0CB9A1FA" w:rsidR="00546566" w:rsidRPr="00DD6730" w:rsidRDefault="00546566" w:rsidP="00546566">
            <w:pPr>
              <w:pStyle w:val="a4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一种采用</w:t>
            </w: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U</w:t>
            </w: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型棚架支护结构体的巷道支护方法</w:t>
            </w:r>
          </w:p>
        </w:tc>
        <w:tc>
          <w:tcPr>
            <w:tcW w:w="896" w:type="dxa"/>
            <w:vAlign w:val="center"/>
          </w:tcPr>
          <w:p w14:paraId="19C27AC8" w14:textId="4887A9B2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54ECF7C3" w14:textId="1785DC25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ZL201310060533.4</w:t>
            </w:r>
          </w:p>
        </w:tc>
        <w:tc>
          <w:tcPr>
            <w:tcW w:w="992" w:type="dxa"/>
            <w:vAlign w:val="center"/>
          </w:tcPr>
          <w:p w14:paraId="21E9DB05" w14:textId="7777777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8406DD" w14:textId="7777777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082108" w14:textId="055B400D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21E7F418" w14:textId="18B4E693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郭东明、杨仁树、张毅</w:t>
            </w:r>
          </w:p>
        </w:tc>
        <w:tc>
          <w:tcPr>
            <w:tcW w:w="1221" w:type="dxa"/>
            <w:vAlign w:val="center"/>
          </w:tcPr>
          <w:p w14:paraId="5A8BFB6F" w14:textId="6EFE638D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687A99ED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6F550098" w14:textId="370FA8E5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2B04CA0C" w14:textId="6ECF192D" w:rsidR="00546566" w:rsidRPr="00DD6730" w:rsidRDefault="00546566" w:rsidP="00546566">
            <w:pPr>
              <w:pStyle w:val="a4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一种锚杆锚索组合支护结构及其施工方法</w:t>
            </w:r>
          </w:p>
        </w:tc>
        <w:tc>
          <w:tcPr>
            <w:tcW w:w="896" w:type="dxa"/>
            <w:vAlign w:val="center"/>
          </w:tcPr>
          <w:p w14:paraId="71C7E787" w14:textId="1A05D833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1D0A1696" w14:textId="6D43D1F3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ZL201510759859.5</w:t>
            </w:r>
          </w:p>
        </w:tc>
        <w:tc>
          <w:tcPr>
            <w:tcW w:w="992" w:type="dxa"/>
            <w:vAlign w:val="center"/>
          </w:tcPr>
          <w:p w14:paraId="27114BBD" w14:textId="7777777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363EE" w14:textId="7777777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6D8C3B" w14:textId="5DDA44AC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57A9AD6A" w14:textId="19895BD2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杨仁树、李永亮、郭东明、朱晔</w:t>
            </w:r>
          </w:p>
        </w:tc>
        <w:tc>
          <w:tcPr>
            <w:tcW w:w="1221" w:type="dxa"/>
            <w:vAlign w:val="center"/>
          </w:tcPr>
          <w:p w14:paraId="236EB09F" w14:textId="459438E4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5A2305AA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1C6570AA" w14:textId="02386FE6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7A9FEFBD" w14:textId="5DD81EDA" w:rsidR="00546566" w:rsidRPr="00DD6730" w:rsidRDefault="00546566" w:rsidP="00546566">
            <w:pPr>
              <w:pStyle w:val="a4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一种注浆导管及其具有该注浆导管的注浆设备</w:t>
            </w:r>
          </w:p>
        </w:tc>
        <w:tc>
          <w:tcPr>
            <w:tcW w:w="896" w:type="dxa"/>
            <w:vAlign w:val="center"/>
          </w:tcPr>
          <w:p w14:paraId="64BD1886" w14:textId="2F1C3515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773BAFB9" w14:textId="0EB36FD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ZL201310060664.2</w:t>
            </w:r>
          </w:p>
        </w:tc>
        <w:tc>
          <w:tcPr>
            <w:tcW w:w="992" w:type="dxa"/>
            <w:vAlign w:val="center"/>
          </w:tcPr>
          <w:p w14:paraId="47D146B7" w14:textId="0A3B1394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92B3B8" w14:textId="461AB914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1F5C22" w14:textId="28D0279E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1D1E4F95" w14:textId="239B7828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杨仁树，李学彬，郭东明，薛华俊</w:t>
            </w:r>
          </w:p>
        </w:tc>
        <w:tc>
          <w:tcPr>
            <w:tcW w:w="1221" w:type="dxa"/>
            <w:vAlign w:val="center"/>
          </w:tcPr>
          <w:p w14:paraId="2EDFC8B1" w14:textId="505DC3CE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77DB2803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0C9D4305" w14:textId="4A298DD7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0820DEC0" w14:textId="5495AF63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一种用于对试块进行实验室注浆测试的装置</w:t>
            </w:r>
          </w:p>
        </w:tc>
        <w:tc>
          <w:tcPr>
            <w:tcW w:w="896" w:type="dxa"/>
            <w:vAlign w:val="center"/>
          </w:tcPr>
          <w:p w14:paraId="700E2D9C" w14:textId="485D0127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6AF8ACE9" w14:textId="0531F250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ZL201310737602.0</w:t>
            </w:r>
          </w:p>
        </w:tc>
        <w:tc>
          <w:tcPr>
            <w:tcW w:w="992" w:type="dxa"/>
            <w:vAlign w:val="center"/>
          </w:tcPr>
          <w:p w14:paraId="610E4E92" w14:textId="6DB910B2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90E7A" w14:textId="2CF27D2E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AAE2F" w14:textId="548C95D7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0D77855E" w14:textId="7DE407B3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杨仁树、郭东明、李学彬、张毅、薛华俊，侯键</w:t>
            </w:r>
          </w:p>
        </w:tc>
        <w:tc>
          <w:tcPr>
            <w:tcW w:w="1221" w:type="dxa"/>
            <w:vAlign w:val="center"/>
          </w:tcPr>
          <w:p w14:paraId="3D4414B5" w14:textId="382D9957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3D8E0602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2D9AE723" w14:textId="37334F4B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2AA200DC" w14:textId="25E5073E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一种密封装置</w:t>
            </w:r>
          </w:p>
        </w:tc>
        <w:tc>
          <w:tcPr>
            <w:tcW w:w="896" w:type="dxa"/>
            <w:vAlign w:val="center"/>
          </w:tcPr>
          <w:p w14:paraId="2407B4EA" w14:textId="33021800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56B4494D" w14:textId="2CBDC722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ZL201310739673.4</w:t>
            </w:r>
          </w:p>
        </w:tc>
        <w:tc>
          <w:tcPr>
            <w:tcW w:w="992" w:type="dxa"/>
            <w:vAlign w:val="center"/>
          </w:tcPr>
          <w:p w14:paraId="5D6CF613" w14:textId="00172C9B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290E58" w14:textId="38ADD6D3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3BB8E" w14:textId="305D30D9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723C8001" w14:textId="29830053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郭东明、杨仁树、薛华俊、李学彬、吴尚，刘康</w:t>
            </w:r>
          </w:p>
        </w:tc>
        <w:tc>
          <w:tcPr>
            <w:tcW w:w="1221" w:type="dxa"/>
            <w:vAlign w:val="center"/>
          </w:tcPr>
          <w:p w14:paraId="16079FE6" w14:textId="486080D6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2B313408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0C895133" w14:textId="4675C717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发明专利</w:t>
            </w:r>
          </w:p>
        </w:tc>
        <w:tc>
          <w:tcPr>
            <w:tcW w:w="1300" w:type="dxa"/>
            <w:vAlign w:val="center"/>
          </w:tcPr>
          <w:p w14:paraId="0AFCB62C" w14:textId="6D95DAAD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一种软煤</w:t>
            </w: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岩层巷道支护方法及支护结构</w:t>
            </w:r>
          </w:p>
        </w:tc>
        <w:tc>
          <w:tcPr>
            <w:tcW w:w="896" w:type="dxa"/>
            <w:vAlign w:val="center"/>
          </w:tcPr>
          <w:p w14:paraId="1BE562A5" w14:textId="114239DF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4A06114F" w14:textId="7C474790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ZL201310060613.X</w:t>
            </w:r>
          </w:p>
        </w:tc>
        <w:tc>
          <w:tcPr>
            <w:tcW w:w="992" w:type="dxa"/>
            <w:vAlign w:val="center"/>
          </w:tcPr>
          <w:p w14:paraId="65D2D478" w14:textId="7BDED4F7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2DF874" w14:textId="41B5F0AC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B76C4" w14:textId="0227C336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61BAC615" w14:textId="0FA34BDC" w:rsidR="00546566" w:rsidRPr="00DD6730" w:rsidRDefault="00546566" w:rsidP="0054656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sz w:val="18"/>
                <w:szCs w:val="18"/>
              </w:rPr>
              <w:t>杨仁树、郭东明、李学彬、薛华俊</w:t>
            </w:r>
          </w:p>
        </w:tc>
        <w:tc>
          <w:tcPr>
            <w:tcW w:w="1221" w:type="dxa"/>
            <w:vAlign w:val="center"/>
          </w:tcPr>
          <w:p w14:paraId="554DF808" w14:textId="393B709A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76937D70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3B36A83D" w14:textId="5090D5EB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3AE0F3DE" w14:textId="46285221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一种内置张开裂隙水泥砂浆事件的制作方法</w:t>
            </w:r>
          </w:p>
        </w:tc>
        <w:tc>
          <w:tcPr>
            <w:tcW w:w="896" w:type="dxa"/>
            <w:vAlign w:val="center"/>
          </w:tcPr>
          <w:p w14:paraId="62F85EF8" w14:textId="5789BD5D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6D602955" w14:textId="0CA6186C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ZL202011093198.4</w:t>
            </w:r>
          </w:p>
        </w:tc>
        <w:tc>
          <w:tcPr>
            <w:tcW w:w="992" w:type="dxa"/>
            <w:vAlign w:val="center"/>
          </w:tcPr>
          <w:p w14:paraId="1D1E8888" w14:textId="1AE4149B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689D8D" w14:textId="50A9BDD2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9BCCA6" w14:textId="6992CCF0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3106D46C" w14:textId="6CDBD351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王雁冰、李书萱、禹思帆、郭东明、马新民、吴宝杨等</w:t>
            </w:r>
          </w:p>
        </w:tc>
        <w:tc>
          <w:tcPr>
            <w:tcW w:w="1221" w:type="dxa"/>
            <w:vAlign w:val="center"/>
          </w:tcPr>
          <w:p w14:paraId="6E0FFE16" w14:textId="652ABB18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66CDCC41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13401DD0" w14:textId="5F6B7DE6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1DC46C3D" w14:textId="6C5D218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一种手摇式实验室注浆简易装置</w:t>
            </w:r>
          </w:p>
        </w:tc>
        <w:tc>
          <w:tcPr>
            <w:tcW w:w="896" w:type="dxa"/>
            <w:vAlign w:val="center"/>
          </w:tcPr>
          <w:p w14:paraId="13791211" w14:textId="5A328CEC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26B6C89B" w14:textId="5B03959D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bCs/>
                <w:color w:val="000000"/>
                <w:kern w:val="24"/>
                <w:sz w:val="18"/>
                <w:szCs w:val="18"/>
              </w:rPr>
              <w:t>ZL202011145772.6</w:t>
            </w:r>
          </w:p>
        </w:tc>
        <w:tc>
          <w:tcPr>
            <w:tcW w:w="992" w:type="dxa"/>
            <w:vAlign w:val="center"/>
          </w:tcPr>
          <w:p w14:paraId="4D3A9F26" w14:textId="48A21D81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F86186" w14:textId="5C29BF70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4559E0" w14:textId="3FCCFDF6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71959FEB" w14:textId="7E669D41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王雁冰、禹思帆、李书萱、郭东明、吴宝杨等</w:t>
            </w:r>
          </w:p>
        </w:tc>
        <w:tc>
          <w:tcPr>
            <w:tcW w:w="1221" w:type="dxa"/>
            <w:vAlign w:val="center"/>
          </w:tcPr>
          <w:p w14:paraId="1424E765" w14:textId="33587411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  <w:tr w:rsidR="00546566" w14:paraId="43077992" w14:textId="77777777" w:rsidTr="00E0438C">
        <w:trPr>
          <w:trHeight w:val="680"/>
        </w:trPr>
        <w:tc>
          <w:tcPr>
            <w:tcW w:w="1123" w:type="dxa"/>
            <w:vAlign w:val="center"/>
          </w:tcPr>
          <w:p w14:paraId="0021CD28" w14:textId="39C9BF1D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vAlign w:val="center"/>
          </w:tcPr>
          <w:p w14:paraId="2BC82E75" w14:textId="00C024AE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一种煤巷锚杆支护自动智能设计与优化系统</w:t>
            </w:r>
          </w:p>
        </w:tc>
        <w:tc>
          <w:tcPr>
            <w:tcW w:w="896" w:type="dxa"/>
            <w:vAlign w:val="center"/>
          </w:tcPr>
          <w:p w14:paraId="39AAF774" w14:textId="60552867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</w:t>
            </w:r>
          </w:p>
        </w:tc>
        <w:tc>
          <w:tcPr>
            <w:tcW w:w="991" w:type="dxa"/>
            <w:vAlign w:val="center"/>
          </w:tcPr>
          <w:p w14:paraId="6EE3E0CC" w14:textId="338F9296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ZL201310746911.4</w:t>
            </w:r>
          </w:p>
        </w:tc>
        <w:tc>
          <w:tcPr>
            <w:tcW w:w="992" w:type="dxa"/>
            <w:vAlign w:val="center"/>
          </w:tcPr>
          <w:p w14:paraId="3733F323" w14:textId="5AC0C428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035776" w14:textId="0D1ADDEF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43BD2C" w14:textId="363799FD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中国矿业大学（北京）</w:t>
            </w:r>
          </w:p>
        </w:tc>
        <w:tc>
          <w:tcPr>
            <w:tcW w:w="1016" w:type="dxa"/>
            <w:vAlign w:val="center"/>
          </w:tcPr>
          <w:p w14:paraId="59BD3379" w14:textId="423A5D9F" w:rsidR="00546566" w:rsidRPr="00DD6730" w:rsidRDefault="00546566" w:rsidP="0054656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D6730">
              <w:rPr>
                <w:rFonts w:ascii="Times New Roman" w:hAnsi="Times New Roman" w:cs="Times New Roman"/>
                <w:sz w:val="18"/>
                <w:szCs w:val="18"/>
              </w:rPr>
              <w:t>马鑫民、王茂源、杨仁树、栾利建等</w:t>
            </w:r>
          </w:p>
        </w:tc>
        <w:tc>
          <w:tcPr>
            <w:tcW w:w="1221" w:type="dxa"/>
            <w:vAlign w:val="center"/>
          </w:tcPr>
          <w:p w14:paraId="4A6C97C7" w14:textId="63697CAD" w:rsidR="00546566" w:rsidRPr="00DD6730" w:rsidRDefault="00546566" w:rsidP="00546566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6730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有效</w:t>
            </w:r>
          </w:p>
        </w:tc>
      </w:tr>
    </w:tbl>
    <w:p w14:paraId="4A921F99" w14:textId="77777777" w:rsidR="00A65CF7" w:rsidRDefault="00A65CF7" w:rsidP="00E0438C"/>
    <w:sectPr w:rsidR="00A6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6CC0" w14:textId="77777777" w:rsidR="00F919D9" w:rsidRDefault="00F919D9" w:rsidP="009B1757">
      <w:r>
        <w:separator/>
      </w:r>
    </w:p>
  </w:endnote>
  <w:endnote w:type="continuationSeparator" w:id="0">
    <w:p w14:paraId="56C1D2CD" w14:textId="77777777" w:rsidR="00F919D9" w:rsidRDefault="00F919D9" w:rsidP="009B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9868" w14:textId="77777777" w:rsidR="00F919D9" w:rsidRDefault="00F919D9" w:rsidP="009B1757">
      <w:r>
        <w:separator/>
      </w:r>
    </w:p>
  </w:footnote>
  <w:footnote w:type="continuationSeparator" w:id="0">
    <w:p w14:paraId="67586E7E" w14:textId="77777777" w:rsidR="00F919D9" w:rsidRDefault="00F919D9" w:rsidP="009B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222"/>
    <w:rsid w:val="000074DE"/>
    <w:rsid w:val="00007A8F"/>
    <w:rsid w:val="00020F0B"/>
    <w:rsid w:val="000264EA"/>
    <w:rsid w:val="0003442A"/>
    <w:rsid w:val="00034583"/>
    <w:rsid w:val="00037382"/>
    <w:rsid w:val="000442EB"/>
    <w:rsid w:val="00054A1F"/>
    <w:rsid w:val="00061A10"/>
    <w:rsid w:val="00063A70"/>
    <w:rsid w:val="00065FC7"/>
    <w:rsid w:val="00072272"/>
    <w:rsid w:val="000757E2"/>
    <w:rsid w:val="00081B66"/>
    <w:rsid w:val="00090D67"/>
    <w:rsid w:val="000A2FE0"/>
    <w:rsid w:val="000B1B8C"/>
    <w:rsid w:val="000B2818"/>
    <w:rsid w:val="000B461F"/>
    <w:rsid w:val="000B5B2F"/>
    <w:rsid w:val="000C1984"/>
    <w:rsid w:val="000C47D4"/>
    <w:rsid w:val="000D16B1"/>
    <w:rsid w:val="000D4C23"/>
    <w:rsid w:val="000D59CE"/>
    <w:rsid w:val="00121370"/>
    <w:rsid w:val="0012616A"/>
    <w:rsid w:val="00136AA4"/>
    <w:rsid w:val="00143737"/>
    <w:rsid w:val="00160587"/>
    <w:rsid w:val="00182C8C"/>
    <w:rsid w:val="001A168F"/>
    <w:rsid w:val="001A3CBA"/>
    <w:rsid w:val="001A50B0"/>
    <w:rsid w:val="001A7F60"/>
    <w:rsid w:val="001B0C8C"/>
    <w:rsid w:val="001B3278"/>
    <w:rsid w:val="001C11ED"/>
    <w:rsid w:val="001C14E4"/>
    <w:rsid w:val="001C64F2"/>
    <w:rsid w:val="001C7A6E"/>
    <w:rsid w:val="001D38BD"/>
    <w:rsid w:val="001E77C4"/>
    <w:rsid w:val="001F6964"/>
    <w:rsid w:val="001F7BDD"/>
    <w:rsid w:val="002067BA"/>
    <w:rsid w:val="002149AC"/>
    <w:rsid w:val="0021534A"/>
    <w:rsid w:val="00220845"/>
    <w:rsid w:val="002237AA"/>
    <w:rsid w:val="00234C1B"/>
    <w:rsid w:val="00235C3F"/>
    <w:rsid w:val="002361ED"/>
    <w:rsid w:val="00236F3A"/>
    <w:rsid w:val="002373D0"/>
    <w:rsid w:val="00246CD4"/>
    <w:rsid w:val="002470A1"/>
    <w:rsid w:val="0025708E"/>
    <w:rsid w:val="00261673"/>
    <w:rsid w:val="0027332F"/>
    <w:rsid w:val="00284C85"/>
    <w:rsid w:val="002867F6"/>
    <w:rsid w:val="00290A78"/>
    <w:rsid w:val="00291D92"/>
    <w:rsid w:val="00295E9E"/>
    <w:rsid w:val="00296805"/>
    <w:rsid w:val="002A16E9"/>
    <w:rsid w:val="002B210C"/>
    <w:rsid w:val="002B43DF"/>
    <w:rsid w:val="002C3FE8"/>
    <w:rsid w:val="002D2736"/>
    <w:rsid w:val="002E0CD0"/>
    <w:rsid w:val="003129B0"/>
    <w:rsid w:val="0031430B"/>
    <w:rsid w:val="003206C6"/>
    <w:rsid w:val="003273D3"/>
    <w:rsid w:val="00334DE5"/>
    <w:rsid w:val="00336A70"/>
    <w:rsid w:val="003427E6"/>
    <w:rsid w:val="003445C1"/>
    <w:rsid w:val="003501B9"/>
    <w:rsid w:val="00365230"/>
    <w:rsid w:val="00365329"/>
    <w:rsid w:val="003748B4"/>
    <w:rsid w:val="00375882"/>
    <w:rsid w:val="00384758"/>
    <w:rsid w:val="00391A55"/>
    <w:rsid w:val="003A4F3E"/>
    <w:rsid w:val="003C7EF5"/>
    <w:rsid w:val="003D1FAD"/>
    <w:rsid w:val="003D2845"/>
    <w:rsid w:val="003D3A8B"/>
    <w:rsid w:val="003E4C8F"/>
    <w:rsid w:val="003E7D55"/>
    <w:rsid w:val="003F37F0"/>
    <w:rsid w:val="003F735C"/>
    <w:rsid w:val="00400EF9"/>
    <w:rsid w:val="0040218B"/>
    <w:rsid w:val="004065BC"/>
    <w:rsid w:val="0041126C"/>
    <w:rsid w:val="0041398F"/>
    <w:rsid w:val="00416FCE"/>
    <w:rsid w:val="00432FD7"/>
    <w:rsid w:val="0044655D"/>
    <w:rsid w:val="00460B50"/>
    <w:rsid w:val="00463796"/>
    <w:rsid w:val="00464235"/>
    <w:rsid w:val="004676D3"/>
    <w:rsid w:val="004906AD"/>
    <w:rsid w:val="004A44B8"/>
    <w:rsid w:val="004A6079"/>
    <w:rsid w:val="004B54EC"/>
    <w:rsid w:val="004D3969"/>
    <w:rsid w:val="004D45E6"/>
    <w:rsid w:val="004E6EC4"/>
    <w:rsid w:val="004F12FF"/>
    <w:rsid w:val="004F2525"/>
    <w:rsid w:val="004F4B85"/>
    <w:rsid w:val="0051294D"/>
    <w:rsid w:val="0051324B"/>
    <w:rsid w:val="0051693F"/>
    <w:rsid w:val="00516C66"/>
    <w:rsid w:val="005218C7"/>
    <w:rsid w:val="00525028"/>
    <w:rsid w:val="00546566"/>
    <w:rsid w:val="00570707"/>
    <w:rsid w:val="00571C7C"/>
    <w:rsid w:val="00573BF8"/>
    <w:rsid w:val="00580222"/>
    <w:rsid w:val="00583417"/>
    <w:rsid w:val="005841EF"/>
    <w:rsid w:val="00592B36"/>
    <w:rsid w:val="00597561"/>
    <w:rsid w:val="005A1A7F"/>
    <w:rsid w:val="005A25EF"/>
    <w:rsid w:val="005A6EF3"/>
    <w:rsid w:val="005B2A24"/>
    <w:rsid w:val="005B2BF4"/>
    <w:rsid w:val="005C4EE0"/>
    <w:rsid w:val="005D1B9D"/>
    <w:rsid w:val="005E108D"/>
    <w:rsid w:val="005E3938"/>
    <w:rsid w:val="005F390C"/>
    <w:rsid w:val="005F3B19"/>
    <w:rsid w:val="005F6A36"/>
    <w:rsid w:val="00610152"/>
    <w:rsid w:val="00613111"/>
    <w:rsid w:val="00633807"/>
    <w:rsid w:val="00637A23"/>
    <w:rsid w:val="00637B3E"/>
    <w:rsid w:val="0065767D"/>
    <w:rsid w:val="00672F2B"/>
    <w:rsid w:val="0068186E"/>
    <w:rsid w:val="00684A74"/>
    <w:rsid w:val="00684F6A"/>
    <w:rsid w:val="00693545"/>
    <w:rsid w:val="006951B4"/>
    <w:rsid w:val="006B6F1A"/>
    <w:rsid w:val="006C344C"/>
    <w:rsid w:val="006C5199"/>
    <w:rsid w:val="006D4379"/>
    <w:rsid w:val="006D7FB6"/>
    <w:rsid w:val="006F0F71"/>
    <w:rsid w:val="00703A1C"/>
    <w:rsid w:val="00707993"/>
    <w:rsid w:val="00711905"/>
    <w:rsid w:val="00727CC1"/>
    <w:rsid w:val="00740476"/>
    <w:rsid w:val="007436E5"/>
    <w:rsid w:val="0074600F"/>
    <w:rsid w:val="00746BD3"/>
    <w:rsid w:val="00747365"/>
    <w:rsid w:val="00753143"/>
    <w:rsid w:val="00762B02"/>
    <w:rsid w:val="007705A2"/>
    <w:rsid w:val="0077078D"/>
    <w:rsid w:val="00773BEA"/>
    <w:rsid w:val="0077796F"/>
    <w:rsid w:val="00784D63"/>
    <w:rsid w:val="00784EC5"/>
    <w:rsid w:val="0079034D"/>
    <w:rsid w:val="007948DF"/>
    <w:rsid w:val="007A656F"/>
    <w:rsid w:val="007B39C7"/>
    <w:rsid w:val="007B5429"/>
    <w:rsid w:val="007B691B"/>
    <w:rsid w:val="007D1180"/>
    <w:rsid w:val="007F40A2"/>
    <w:rsid w:val="00807117"/>
    <w:rsid w:val="008400FC"/>
    <w:rsid w:val="00845227"/>
    <w:rsid w:val="008528DD"/>
    <w:rsid w:val="008573E4"/>
    <w:rsid w:val="00865C5A"/>
    <w:rsid w:val="00871C67"/>
    <w:rsid w:val="00872F0F"/>
    <w:rsid w:val="0087389E"/>
    <w:rsid w:val="008762E5"/>
    <w:rsid w:val="0088325E"/>
    <w:rsid w:val="008979FA"/>
    <w:rsid w:val="008B3F61"/>
    <w:rsid w:val="008C23DC"/>
    <w:rsid w:val="008C306C"/>
    <w:rsid w:val="008E128C"/>
    <w:rsid w:val="008E40FD"/>
    <w:rsid w:val="00900678"/>
    <w:rsid w:val="00912BDA"/>
    <w:rsid w:val="0091306F"/>
    <w:rsid w:val="00917B54"/>
    <w:rsid w:val="00927866"/>
    <w:rsid w:val="00934DEA"/>
    <w:rsid w:val="009377DE"/>
    <w:rsid w:val="00940E81"/>
    <w:rsid w:val="009417CD"/>
    <w:rsid w:val="0097083C"/>
    <w:rsid w:val="00977B1B"/>
    <w:rsid w:val="0098087D"/>
    <w:rsid w:val="0098340D"/>
    <w:rsid w:val="009B1757"/>
    <w:rsid w:val="009B261F"/>
    <w:rsid w:val="009D375F"/>
    <w:rsid w:val="009D428E"/>
    <w:rsid w:val="009D5DFA"/>
    <w:rsid w:val="009E1987"/>
    <w:rsid w:val="009E5913"/>
    <w:rsid w:val="009E6DAB"/>
    <w:rsid w:val="009F174B"/>
    <w:rsid w:val="00A03B31"/>
    <w:rsid w:val="00A15751"/>
    <w:rsid w:val="00A219CB"/>
    <w:rsid w:val="00A43884"/>
    <w:rsid w:val="00A51357"/>
    <w:rsid w:val="00A63E21"/>
    <w:rsid w:val="00A64013"/>
    <w:rsid w:val="00A65CF7"/>
    <w:rsid w:val="00A94FF8"/>
    <w:rsid w:val="00AA005E"/>
    <w:rsid w:val="00AA481E"/>
    <w:rsid w:val="00AA784E"/>
    <w:rsid w:val="00AB1215"/>
    <w:rsid w:val="00AB1476"/>
    <w:rsid w:val="00AC2ED9"/>
    <w:rsid w:val="00AD689F"/>
    <w:rsid w:val="00AF59F9"/>
    <w:rsid w:val="00B10C03"/>
    <w:rsid w:val="00B154C4"/>
    <w:rsid w:val="00B1552A"/>
    <w:rsid w:val="00B23C13"/>
    <w:rsid w:val="00B316F8"/>
    <w:rsid w:val="00B367ED"/>
    <w:rsid w:val="00B7391D"/>
    <w:rsid w:val="00B7524F"/>
    <w:rsid w:val="00B8419A"/>
    <w:rsid w:val="00BA4914"/>
    <w:rsid w:val="00BB4239"/>
    <w:rsid w:val="00BC22E0"/>
    <w:rsid w:val="00BC4103"/>
    <w:rsid w:val="00BC6F84"/>
    <w:rsid w:val="00BD44A3"/>
    <w:rsid w:val="00BD7DE9"/>
    <w:rsid w:val="00BE1CE7"/>
    <w:rsid w:val="00BE4340"/>
    <w:rsid w:val="00BF02FD"/>
    <w:rsid w:val="00C10AE9"/>
    <w:rsid w:val="00C14FCB"/>
    <w:rsid w:val="00C1725F"/>
    <w:rsid w:val="00C20536"/>
    <w:rsid w:val="00C20B52"/>
    <w:rsid w:val="00C215EB"/>
    <w:rsid w:val="00C34F3C"/>
    <w:rsid w:val="00C36F17"/>
    <w:rsid w:val="00C370CD"/>
    <w:rsid w:val="00C4671A"/>
    <w:rsid w:val="00C4683C"/>
    <w:rsid w:val="00C53F68"/>
    <w:rsid w:val="00C57606"/>
    <w:rsid w:val="00C65442"/>
    <w:rsid w:val="00C72EED"/>
    <w:rsid w:val="00C843DF"/>
    <w:rsid w:val="00CA0744"/>
    <w:rsid w:val="00CA371D"/>
    <w:rsid w:val="00CA3A41"/>
    <w:rsid w:val="00CA4B95"/>
    <w:rsid w:val="00CA6ED9"/>
    <w:rsid w:val="00CB24E4"/>
    <w:rsid w:val="00CB2746"/>
    <w:rsid w:val="00CB2BC8"/>
    <w:rsid w:val="00CC476A"/>
    <w:rsid w:val="00CC642D"/>
    <w:rsid w:val="00CD522A"/>
    <w:rsid w:val="00CE4461"/>
    <w:rsid w:val="00CE56C5"/>
    <w:rsid w:val="00CF2CC9"/>
    <w:rsid w:val="00D06606"/>
    <w:rsid w:val="00D068A3"/>
    <w:rsid w:val="00D1193A"/>
    <w:rsid w:val="00D13620"/>
    <w:rsid w:val="00D21E77"/>
    <w:rsid w:val="00D25BD8"/>
    <w:rsid w:val="00D562D9"/>
    <w:rsid w:val="00D5755F"/>
    <w:rsid w:val="00D6077C"/>
    <w:rsid w:val="00D7081C"/>
    <w:rsid w:val="00D9041D"/>
    <w:rsid w:val="00D95157"/>
    <w:rsid w:val="00DA3C25"/>
    <w:rsid w:val="00DA3DD7"/>
    <w:rsid w:val="00DB08A3"/>
    <w:rsid w:val="00DB0A3E"/>
    <w:rsid w:val="00DB23B9"/>
    <w:rsid w:val="00DC48F2"/>
    <w:rsid w:val="00DC6914"/>
    <w:rsid w:val="00DC794A"/>
    <w:rsid w:val="00DD21FB"/>
    <w:rsid w:val="00DD6730"/>
    <w:rsid w:val="00DD6F4F"/>
    <w:rsid w:val="00DE224E"/>
    <w:rsid w:val="00DE3C00"/>
    <w:rsid w:val="00E0438C"/>
    <w:rsid w:val="00E14460"/>
    <w:rsid w:val="00E219A4"/>
    <w:rsid w:val="00E22ED1"/>
    <w:rsid w:val="00E24716"/>
    <w:rsid w:val="00E35585"/>
    <w:rsid w:val="00E36601"/>
    <w:rsid w:val="00E420AE"/>
    <w:rsid w:val="00E50D51"/>
    <w:rsid w:val="00E72088"/>
    <w:rsid w:val="00E751C5"/>
    <w:rsid w:val="00E7643A"/>
    <w:rsid w:val="00E7720D"/>
    <w:rsid w:val="00E93185"/>
    <w:rsid w:val="00E93C50"/>
    <w:rsid w:val="00E970A2"/>
    <w:rsid w:val="00E97A32"/>
    <w:rsid w:val="00EB1C60"/>
    <w:rsid w:val="00EB56C6"/>
    <w:rsid w:val="00EC5673"/>
    <w:rsid w:val="00ED34E8"/>
    <w:rsid w:val="00EE093C"/>
    <w:rsid w:val="00EE71A6"/>
    <w:rsid w:val="00EF3130"/>
    <w:rsid w:val="00EF6949"/>
    <w:rsid w:val="00F0217C"/>
    <w:rsid w:val="00F12469"/>
    <w:rsid w:val="00F164D0"/>
    <w:rsid w:val="00F168E7"/>
    <w:rsid w:val="00F212D3"/>
    <w:rsid w:val="00F23C0B"/>
    <w:rsid w:val="00F3081A"/>
    <w:rsid w:val="00F35695"/>
    <w:rsid w:val="00F36DA3"/>
    <w:rsid w:val="00F36FF7"/>
    <w:rsid w:val="00F46AB3"/>
    <w:rsid w:val="00F527E6"/>
    <w:rsid w:val="00F60363"/>
    <w:rsid w:val="00F7116C"/>
    <w:rsid w:val="00F74F81"/>
    <w:rsid w:val="00F764EA"/>
    <w:rsid w:val="00F806F0"/>
    <w:rsid w:val="00F82071"/>
    <w:rsid w:val="00F919D9"/>
    <w:rsid w:val="00F92318"/>
    <w:rsid w:val="00F93A74"/>
    <w:rsid w:val="00F9447A"/>
    <w:rsid w:val="00FA01C2"/>
    <w:rsid w:val="00FB31E9"/>
    <w:rsid w:val="00FB4D95"/>
    <w:rsid w:val="00FB6AF0"/>
    <w:rsid w:val="00FC6E70"/>
    <w:rsid w:val="00FE12FE"/>
    <w:rsid w:val="00FE3191"/>
    <w:rsid w:val="00FF3383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2C6DD"/>
  <w15:chartTrackingRefBased/>
  <w15:docId w15:val="{9766A280-72C8-420B-9C91-3247DDE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65CF7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65CF7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fontstyle01">
    <w:name w:val="fontstyle01"/>
    <w:rsid w:val="00A65CF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纯文本 字符1"/>
    <w:link w:val="a3"/>
    <w:qFormat/>
    <w:rsid w:val="00A65CF7"/>
    <w:rPr>
      <w:bCs/>
      <w:szCs w:val="21"/>
    </w:rPr>
  </w:style>
  <w:style w:type="paragraph" w:styleId="a4">
    <w:name w:val="Normal (Web)"/>
    <w:basedOn w:val="a"/>
    <w:uiPriority w:val="99"/>
    <w:unhideWhenUsed/>
    <w:qFormat/>
    <w:rsid w:val="00A65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11"/>
    <w:qFormat/>
    <w:rsid w:val="00A65CF7"/>
    <w:pPr>
      <w:spacing w:line="400" w:lineRule="exact"/>
      <w:ind w:firstLineChars="200" w:firstLine="420"/>
    </w:pPr>
    <w:rPr>
      <w:bCs/>
      <w:szCs w:val="21"/>
    </w:rPr>
  </w:style>
  <w:style w:type="character" w:customStyle="1" w:styleId="a5">
    <w:name w:val="纯文本 字符"/>
    <w:basedOn w:val="a0"/>
    <w:uiPriority w:val="99"/>
    <w:semiHidden/>
    <w:rsid w:val="00A65CF7"/>
    <w:rPr>
      <w:rFonts w:asciiTheme="minorEastAsia" w:hAnsi="Courier New" w:cs="Courier New"/>
    </w:rPr>
  </w:style>
  <w:style w:type="paragraph" w:styleId="a6">
    <w:name w:val="header"/>
    <w:basedOn w:val="a"/>
    <w:link w:val="a7"/>
    <w:uiPriority w:val="99"/>
    <w:unhideWhenUsed/>
    <w:rsid w:val="009B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7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1757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7A2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37A2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37A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7A2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37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lyw@cumtb.edu.cn</dc:creator>
  <cp:keywords/>
  <dc:description/>
  <cp:lastModifiedBy>Yongliang LI</cp:lastModifiedBy>
  <cp:revision>126</cp:revision>
  <dcterms:created xsi:type="dcterms:W3CDTF">2022-05-02T07:18:00Z</dcterms:created>
  <dcterms:modified xsi:type="dcterms:W3CDTF">2022-05-11T10:14:00Z</dcterms:modified>
</cp:coreProperties>
</file>